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6AAD6A2F"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8941F1">
        <w:rPr>
          <w:rFonts w:ascii="Arial" w:hAnsi="Arial" w:cs="Arial"/>
          <w:b/>
          <w:sz w:val="24"/>
          <w:szCs w:val="24"/>
        </w:rPr>
        <w:t>9-e</w:t>
      </w:r>
      <w:r w:rsidRPr="0008103A">
        <w:rPr>
          <w:rFonts w:ascii="Arial" w:hAnsi="Arial" w:cs="Arial"/>
          <w:b/>
          <w:sz w:val="24"/>
          <w:szCs w:val="24"/>
        </w:rPr>
        <w:tab/>
      </w:r>
      <w:r w:rsidRPr="0008103A">
        <w:rPr>
          <w:rFonts w:ascii="Arial" w:hAnsi="Arial" w:cs="Arial"/>
          <w:b/>
          <w:sz w:val="24"/>
          <w:szCs w:val="24"/>
        </w:rPr>
        <w:tab/>
      </w:r>
      <w:r w:rsidR="00E75101" w:rsidRPr="00E75101">
        <w:rPr>
          <w:rFonts w:ascii="Arial" w:hAnsi="Arial" w:cs="Arial"/>
          <w:b/>
          <w:sz w:val="24"/>
          <w:szCs w:val="24"/>
        </w:rPr>
        <w:t>R4-2110838</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B2591E">
        <w:rPr>
          <w:rFonts w:ascii="Arial" w:hAnsi="Arial" w:cs="Arial"/>
          <w:b/>
          <w:noProof/>
          <w:sz w:val="24"/>
          <w:lang w:eastAsia="ja-JP"/>
        </w:rPr>
        <w:t>9</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7E8DDB7D"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B7240">
        <w:rPr>
          <w:rFonts w:ascii="Arial" w:hAnsi="Arial" w:cs="Arial"/>
          <w:b/>
          <w:sz w:val="24"/>
          <w:szCs w:val="24"/>
        </w:rPr>
        <w:t>10</w:t>
      </w:r>
      <w:r w:rsidR="00FD3EF1">
        <w:rPr>
          <w:rFonts w:ascii="Arial" w:hAnsi="Arial" w:cs="Arial"/>
          <w:b/>
          <w:sz w:val="24"/>
          <w:szCs w:val="24"/>
        </w:rPr>
        <w:t>.1.</w:t>
      </w:r>
      <w:r w:rsidR="00F30333">
        <w:rPr>
          <w:rFonts w:ascii="Arial" w:hAnsi="Arial" w:cs="Arial"/>
          <w:b/>
          <w:sz w:val="24"/>
          <w:szCs w:val="24"/>
        </w:rPr>
        <w:t>3</w:t>
      </w:r>
      <w:bookmarkStart w:id="1" w:name="_GoBack"/>
      <w:bookmarkEnd w:id="1"/>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7945A909"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5C4DFA">
        <w:rPr>
          <w:rFonts w:ascii="Arial" w:hAnsi="Arial" w:cs="Arial"/>
          <w:b/>
          <w:sz w:val="24"/>
          <w:szCs w:val="24"/>
        </w:rPr>
        <w:t>Consideration of the definition of the coherent UE for FR2</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471C9D0D" w14:textId="6F0FBBC7" w:rsidR="00950C25" w:rsidRDefault="00B43D9C" w:rsidP="00FB282B">
      <w:pPr>
        <w:jc w:val="both"/>
        <w:rPr>
          <w:rFonts w:eastAsiaTheme="minorEastAsia"/>
          <w:lang w:eastAsia="zh-CN"/>
        </w:rPr>
      </w:pPr>
      <w:r>
        <w:rPr>
          <w:rFonts w:eastAsiaTheme="minorEastAsia"/>
          <w:lang w:eastAsia="zh-CN"/>
        </w:rPr>
        <w:t>TPMI method was concluded as an applicable method to overcome the polarization basis mismatch issue. However, not all the UEs can apply TPMI method, and the agreed scope that can apply TPMI method is Rel-15 and Rel-16 coherent UEs</w:t>
      </w:r>
      <w:r w:rsidR="00CB583F">
        <w:rPr>
          <w:rFonts w:eastAsiaTheme="minorEastAsia"/>
          <w:lang w:eastAsia="zh-CN"/>
        </w:rPr>
        <w:t xml:space="preserve"> and Rel-16 non</w:t>
      </w:r>
      <w:r w:rsidR="002B33C3">
        <w:rPr>
          <w:rFonts w:eastAsiaTheme="minorEastAsia"/>
          <w:lang w:eastAsia="zh-CN"/>
        </w:rPr>
        <w:t>-</w:t>
      </w:r>
      <w:r w:rsidR="00CB583F">
        <w:rPr>
          <w:rFonts w:eastAsiaTheme="minorEastAsia"/>
          <w:lang w:eastAsia="zh-CN"/>
        </w:rPr>
        <w:t>Coherent UEs with uplink full power transmission [1].</w:t>
      </w:r>
    </w:p>
    <w:p w14:paraId="583E5917" w14:textId="71F408C0" w:rsidR="00011879" w:rsidRDefault="00251CC5" w:rsidP="00CA3BBC">
      <w:pPr>
        <w:jc w:val="center"/>
        <w:rPr>
          <w:rFonts w:eastAsiaTheme="minorEastAsia"/>
          <w:lang w:eastAsia="zh-CN"/>
        </w:rPr>
      </w:pPr>
      <w:r>
        <w:rPr>
          <w:noProof/>
          <w:lang w:val="en-US" w:eastAsia="zh-CN"/>
        </w:rPr>
        <w:drawing>
          <wp:inline distT="0" distB="0" distL="0" distR="0" wp14:anchorId="3A00A484" wp14:editId="0CA3E602">
            <wp:extent cx="4572000" cy="2118072"/>
            <wp:effectExtent l="19050" t="19050" r="1905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5241" cy="2124206"/>
                    </a:xfrm>
                    <a:prstGeom prst="rect">
                      <a:avLst/>
                    </a:prstGeom>
                    <a:ln>
                      <a:solidFill>
                        <a:schemeClr val="tx1"/>
                      </a:solidFill>
                    </a:ln>
                  </pic:spPr>
                </pic:pic>
              </a:graphicData>
            </a:graphic>
          </wp:inline>
        </w:drawing>
      </w:r>
    </w:p>
    <w:p w14:paraId="7C7C9DBF" w14:textId="2ABFFE35" w:rsidR="00791CBB" w:rsidRDefault="00CB583F" w:rsidP="00FB282B">
      <w:pPr>
        <w:jc w:val="both"/>
        <w:rPr>
          <w:rFonts w:eastAsiaTheme="minorEastAsia"/>
          <w:lang w:eastAsia="zh-CN"/>
        </w:rPr>
      </w:pPr>
      <w:r>
        <w:rPr>
          <w:rFonts w:eastAsiaTheme="minorEastAsia"/>
          <w:lang w:eastAsia="zh-CN"/>
        </w:rPr>
        <w:t>One of the key criteria is that whether the UE is coherent or not.</w:t>
      </w:r>
    </w:p>
    <w:p w14:paraId="4172A0FD" w14:textId="08B585C4" w:rsidR="00E60178" w:rsidRDefault="009A1576" w:rsidP="00FB282B">
      <w:pPr>
        <w:jc w:val="both"/>
        <w:rPr>
          <w:rFonts w:eastAsiaTheme="minorEastAsia"/>
          <w:lang w:eastAsia="zh-CN"/>
        </w:rPr>
      </w:pPr>
      <w:r>
        <w:rPr>
          <w:rFonts w:eastAsiaTheme="minorEastAsia"/>
          <w:lang w:eastAsia="zh-CN"/>
        </w:rPr>
        <w:t xml:space="preserve">This paper </w:t>
      </w:r>
      <w:r w:rsidR="00A95390">
        <w:rPr>
          <w:rFonts w:eastAsiaTheme="minorEastAsia"/>
          <w:lang w:eastAsia="zh-CN"/>
        </w:rPr>
        <w:t>discusses</w:t>
      </w:r>
      <w:r w:rsidR="00F65DEB">
        <w:rPr>
          <w:rFonts w:eastAsiaTheme="minorEastAsia"/>
          <w:lang w:eastAsia="zh-CN"/>
        </w:rPr>
        <w:t xml:space="preserve"> the </w:t>
      </w:r>
      <w:r w:rsidR="00A95390">
        <w:rPr>
          <w:rFonts w:eastAsiaTheme="minorEastAsia"/>
          <w:lang w:eastAsia="zh-CN"/>
        </w:rPr>
        <w:t>definition of the coherent UE for FR2</w:t>
      </w:r>
      <w:r w:rsidR="00E60178">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DAF6C24" w14:textId="75CB17CF" w:rsidR="00AC4265" w:rsidRPr="00B43366" w:rsidRDefault="00E474CE" w:rsidP="00FB282B">
      <w:pPr>
        <w:rPr>
          <w:rFonts w:eastAsia="宋体"/>
          <w:lang w:eastAsia="zh-CN"/>
        </w:rPr>
      </w:pPr>
      <w:r w:rsidRPr="00B43366">
        <w:rPr>
          <w:rFonts w:eastAsia="宋体"/>
          <w:lang w:eastAsia="zh-CN"/>
        </w:rPr>
        <w:t xml:space="preserve">In </w:t>
      </w:r>
      <w:r w:rsidR="00B43366">
        <w:rPr>
          <w:rFonts w:eastAsia="宋体"/>
          <w:lang w:eastAsia="zh-CN"/>
        </w:rPr>
        <w:t xml:space="preserve">TS 38.101-2, </w:t>
      </w:r>
      <w:r w:rsidR="00921D13">
        <w:rPr>
          <w:rFonts w:eastAsia="宋体"/>
          <w:lang w:eastAsia="zh-CN"/>
        </w:rPr>
        <w:t>the definition of the coherent UE for FR2 is captured as below.</w:t>
      </w:r>
    </w:p>
    <w:p w14:paraId="5D5C6598" w14:textId="44899FA8" w:rsidR="00AC4265" w:rsidRDefault="00921D13" w:rsidP="00921D13">
      <w:pPr>
        <w:jc w:val="center"/>
        <w:rPr>
          <w:rFonts w:eastAsia="宋体"/>
          <w:lang w:eastAsia="zh-CN"/>
        </w:rPr>
      </w:pPr>
      <w:r>
        <w:rPr>
          <w:noProof/>
          <w:lang w:val="en-US" w:eastAsia="zh-CN"/>
        </w:rPr>
        <w:drawing>
          <wp:inline distT="0" distB="0" distL="0" distR="0" wp14:anchorId="6EBEC778" wp14:editId="04E6FF79">
            <wp:extent cx="5384800" cy="1912448"/>
            <wp:effectExtent l="19050" t="19050" r="2540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97927" cy="1917110"/>
                    </a:xfrm>
                    <a:prstGeom prst="rect">
                      <a:avLst/>
                    </a:prstGeom>
                    <a:ln>
                      <a:solidFill>
                        <a:schemeClr val="tx1"/>
                      </a:solidFill>
                    </a:ln>
                  </pic:spPr>
                </pic:pic>
              </a:graphicData>
            </a:graphic>
          </wp:inline>
        </w:drawing>
      </w:r>
    </w:p>
    <w:p w14:paraId="22643FB5" w14:textId="1CF12973" w:rsidR="00AC4265" w:rsidRDefault="00921D13" w:rsidP="00FB282B">
      <w:pPr>
        <w:rPr>
          <w:rFonts w:eastAsia="宋体"/>
          <w:lang w:eastAsia="zh-CN"/>
        </w:rPr>
      </w:pPr>
      <w:r>
        <w:rPr>
          <w:rFonts w:eastAsia="宋体" w:hint="eastAsia"/>
          <w:lang w:eastAsia="zh-CN"/>
        </w:rPr>
        <w:lastRenderedPageBreak/>
        <w:t>B</w:t>
      </w:r>
      <w:r>
        <w:rPr>
          <w:rFonts w:eastAsia="宋体"/>
          <w:lang w:eastAsia="zh-CN"/>
        </w:rPr>
        <w:t>efore making clear the scope of FR2 coherent UE, the concept of the FR1 coherent UE is illustrated. Considering two radiators (antennas) with a distance apart on an FR1 UE, the total radiated energy by two radiators will be expressed as a superposition of the two individual energy by each radiator. The result of superposition will cause the energy from the two radiators constructive or destructive interference, which is related to the phase difference between the two radiators. The working frequency and the distance between the phase centre of the two radiators determine the relative phase difference of FR1 UE.</w:t>
      </w:r>
    </w:p>
    <w:p w14:paraId="48F8EDD2" w14:textId="7081769D" w:rsidR="00921D13" w:rsidRDefault="00921D13" w:rsidP="00FB282B">
      <w:pPr>
        <w:rPr>
          <w:rFonts w:eastAsia="宋体"/>
          <w:lang w:eastAsia="zh-CN"/>
        </w:rPr>
      </w:pPr>
      <w:r>
        <w:rPr>
          <w:rFonts w:eastAsia="宋体"/>
          <w:lang w:eastAsia="zh-CN"/>
        </w:rPr>
        <w:t>While for FR2 UE, the situation is changed. There are two or three antenna modules on FR2 UE. However, the UL MIMO does not work based on pair of modules, but it works on the two polarizations of one module. The illustration is shown below to demonstrate the main difference between FR1 and FR2.</w:t>
      </w:r>
    </w:p>
    <w:p w14:paraId="66D1E523" w14:textId="0637DB60" w:rsidR="00921D13" w:rsidRDefault="00921D13" w:rsidP="00921D13">
      <w:pPr>
        <w:jc w:val="center"/>
        <w:rPr>
          <w:rFonts w:eastAsia="宋体"/>
          <w:lang w:eastAsia="zh-CN"/>
        </w:rPr>
      </w:pPr>
      <w:r>
        <w:rPr>
          <w:noProof/>
          <w:lang w:val="en-US" w:eastAsia="zh-CN"/>
        </w:rPr>
        <w:drawing>
          <wp:inline distT="0" distB="0" distL="0" distR="0" wp14:anchorId="27E797CA" wp14:editId="44AB8763">
            <wp:extent cx="3409950" cy="2967697"/>
            <wp:effectExtent l="19050" t="19050" r="19050" b="234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25443" cy="2981181"/>
                    </a:xfrm>
                    <a:prstGeom prst="rect">
                      <a:avLst/>
                    </a:prstGeom>
                    <a:ln>
                      <a:solidFill>
                        <a:schemeClr val="tx1"/>
                      </a:solidFill>
                    </a:ln>
                  </pic:spPr>
                </pic:pic>
              </a:graphicData>
            </a:graphic>
          </wp:inline>
        </w:drawing>
      </w:r>
    </w:p>
    <w:p w14:paraId="1BC91D84" w14:textId="7485845A" w:rsidR="00921D13" w:rsidRDefault="00921D13" w:rsidP="00FB282B">
      <w:pPr>
        <w:rPr>
          <w:rFonts w:eastAsia="宋体"/>
          <w:lang w:eastAsia="zh-CN"/>
        </w:rPr>
      </w:pPr>
      <w:r>
        <w:rPr>
          <w:rFonts w:eastAsia="宋体"/>
          <w:lang w:eastAsia="zh-CN"/>
        </w:rPr>
        <w:t>Coming back to the definition of the coherent UE for FR2, to our understanding, different physical antenna ports is corresponding to different polarizations of one of antenna modules on FR2 UE. Unfortunately, this understanding will cause confusion on recognizing the FR2 coherent UE.</w:t>
      </w:r>
    </w:p>
    <w:p w14:paraId="1C0A3DE5" w14:textId="10EF0FD9" w:rsidR="00921D13" w:rsidRDefault="00921D13" w:rsidP="00FB282B">
      <w:pPr>
        <w:rPr>
          <w:rFonts w:eastAsia="宋体"/>
          <w:lang w:eastAsia="zh-CN"/>
        </w:rPr>
      </w:pPr>
      <w:r>
        <w:rPr>
          <w:rFonts w:eastAsia="宋体"/>
          <w:lang w:eastAsia="zh-CN"/>
        </w:rPr>
        <w:t>From the perspective of the distance between radiators, the relative phase difference should be 0 degree because the phase centre of the two polarizations coincide. This means FR2 UE is coherent UE.</w:t>
      </w:r>
    </w:p>
    <w:p w14:paraId="2FB1D543" w14:textId="1FCD24D2" w:rsidR="00921D13" w:rsidRDefault="00921D13" w:rsidP="00FB282B">
      <w:pPr>
        <w:rPr>
          <w:rFonts w:eastAsia="宋体"/>
          <w:lang w:eastAsia="zh-CN"/>
        </w:rPr>
      </w:pPr>
      <w:r>
        <w:rPr>
          <w:rFonts w:eastAsia="宋体"/>
          <w:lang w:eastAsia="zh-CN"/>
        </w:rPr>
        <w:t>On the other hand, from the perspective of polarization, energy from orthogonal polarizations can not use superposition method. This means FR2 UE is non-coherent UE.</w:t>
      </w:r>
    </w:p>
    <w:p w14:paraId="5E82DF7F" w14:textId="57ADE11E" w:rsidR="00921D13" w:rsidRDefault="00921D13" w:rsidP="00FB282B">
      <w:pPr>
        <w:rPr>
          <w:rFonts w:eastAsia="宋体"/>
          <w:lang w:eastAsia="zh-CN"/>
        </w:rPr>
      </w:pPr>
      <w:r>
        <w:rPr>
          <w:rFonts w:eastAsia="宋体"/>
          <w:lang w:eastAsia="zh-CN"/>
        </w:rPr>
        <w:t>The conflict conclusion above should be noticed and resolved by clarifying the definition of the coherent UE for FR2.</w:t>
      </w:r>
    </w:p>
    <w:p w14:paraId="298607F4" w14:textId="6C80D233" w:rsidR="00626166" w:rsidRDefault="00626166" w:rsidP="00626166">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921D13">
        <w:rPr>
          <w:rFonts w:eastAsia="宋体"/>
          <w:lang w:eastAsia="zh-CN"/>
        </w:rPr>
        <w:t>current definition of the coherent UE for FR2 will cause confusion on recognizing the FR2 coherent UE.</w:t>
      </w:r>
    </w:p>
    <w:p w14:paraId="5D617364" w14:textId="6CCB6B3D" w:rsidR="00626166" w:rsidRDefault="00626166" w:rsidP="00626166">
      <w:pPr>
        <w:rPr>
          <w:rFonts w:eastAsia="宋体"/>
          <w:b/>
          <w:lang w:eastAsia="zh-CN"/>
        </w:rPr>
      </w:pPr>
      <w:r w:rsidRPr="00626166">
        <w:rPr>
          <w:rFonts w:eastAsiaTheme="minorEastAsia" w:hint="eastAsia"/>
          <w:b/>
          <w:lang w:eastAsia="zh-CN"/>
        </w:rPr>
        <w:t>P</w:t>
      </w:r>
      <w:r w:rsidRPr="00626166">
        <w:rPr>
          <w:rFonts w:eastAsiaTheme="minorEastAsia"/>
          <w:b/>
          <w:lang w:eastAsia="zh-CN"/>
        </w:rPr>
        <w:t>roposal:</w:t>
      </w:r>
      <w:r w:rsidRPr="00626166">
        <w:rPr>
          <w:rFonts w:eastAsiaTheme="minorEastAsia" w:hint="eastAsia"/>
          <w:b/>
          <w:lang w:eastAsia="zh-CN"/>
        </w:rPr>
        <w:t xml:space="preserve"> </w:t>
      </w:r>
      <w:r w:rsidR="00921D13">
        <w:rPr>
          <w:rFonts w:eastAsiaTheme="minorEastAsia"/>
          <w:b/>
          <w:lang w:eastAsia="zh-CN"/>
        </w:rPr>
        <w:t xml:space="preserve">RAN4 should </w:t>
      </w:r>
      <w:r w:rsidR="00921D13">
        <w:rPr>
          <w:rFonts w:eastAsia="宋体"/>
          <w:b/>
          <w:lang w:eastAsia="zh-CN"/>
        </w:rPr>
        <w:t>clarify the definition of the coherent UE for FR2.</w:t>
      </w:r>
    </w:p>
    <w:p w14:paraId="6753F8E1" w14:textId="77777777" w:rsidR="00AC4265" w:rsidRPr="00626166" w:rsidRDefault="00AC4265" w:rsidP="00626166">
      <w:pPr>
        <w:rPr>
          <w:rFonts w:eastAsiaTheme="minorEastAsia"/>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5AC6B39" w14:textId="77777777" w:rsidR="00921D13" w:rsidRDefault="00921D13" w:rsidP="00921D13">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Pr>
          <w:rFonts w:eastAsia="宋体"/>
          <w:lang w:eastAsia="zh-CN"/>
        </w:rPr>
        <w:t>current definition of the coherent UE for FR2 will cause confusion on recognizing the FR2 coherent UE.</w:t>
      </w:r>
    </w:p>
    <w:p w14:paraId="129A3311" w14:textId="77777777" w:rsidR="00921D13" w:rsidRDefault="00921D13" w:rsidP="00921D13">
      <w:pPr>
        <w:rPr>
          <w:rFonts w:eastAsia="宋体"/>
          <w:b/>
          <w:lang w:eastAsia="zh-CN"/>
        </w:rPr>
      </w:pPr>
      <w:r w:rsidRPr="00626166">
        <w:rPr>
          <w:rFonts w:eastAsiaTheme="minorEastAsia" w:hint="eastAsia"/>
          <w:b/>
          <w:lang w:eastAsia="zh-CN"/>
        </w:rPr>
        <w:lastRenderedPageBreak/>
        <w:t>P</w:t>
      </w:r>
      <w:r w:rsidRPr="00626166">
        <w:rPr>
          <w:rFonts w:eastAsiaTheme="minorEastAsia"/>
          <w:b/>
          <w:lang w:eastAsia="zh-CN"/>
        </w:rPr>
        <w:t>roposal:</w:t>
      </w:r>
      <w:r w:rsidRPr="00626166">
        <w:rPr>
          <w:rFonts w:eastAsiaTheme="minorEastAsia" w:hint="eastAsia"/>
          <w:b/>
          <w:lang w:eastAsia="zh-CN"/>
        </w:rPr>
        <w:t xml:space="preserve"> </w:t>
      </w:r>
      <w:r>
        <w:rPr>
          <w:rFonts w:eastAsiaTheme="minorEastAsia"/>
          <w:b/>
          <w:lang w:eastAsia="zh-CN"/>
        </w:rPr>
        <w:t xml:space="preserve">RAN4 should </w:t>
      </w:r>
      <w:r>
        <w:rPr>
          <w:rFonts w:eastAsia="宋体"/>
          <w:b/>
          <w:lang w:eastAsia="zh-CN"/>
        </w:rPr>
        <w:t>clarify the definition of the coherent UE for FR2.</w:t>
      </w:r>
    </w:p>
    <w:p w14:paraId="2B19C93F" w14:textId="77777777" w:rsidR="002D0367" w:rsidRPr="00A44705" w:rsidRDefault="002D0367" w:rsidP="002D0367">
      <w:pPr>
        <w:pStyle w:val="1"/>
        <w:ind w:left="0" w:firstLine="0"/>
        <w:rPr>
          <w:rFonts w:eastAsia="宋体"/>
          <w:lang w:eastAsia="zh-CN"/>
        </w:rPr>
      </w:pPr>
      <w:r>
        <w:t>References</w:t>
      </w:r>
    </w:p>
    <w:p w14:paraId="6F947ECB" w14:textId="7F9F1133" w:rsidR="00FB282B" w:rsidRDefault="00CB583F" w:rsidP="00FB282B">
      <w:pPr>
        <w:pStyle w:val="EX"/>
        <w:numPr>
          <w:ilvl w:val="0"/>
          <w:numId w:val="1"/>
        </w:numPr>
        <w:ind w:left="284" w:firstLine="0"/>
        <w:rPr>
          <w:rFonts w:eastAsiaTheme="minorEastAsia"/>
          <w:lang w:eastAsia="zh-CN"/>
        </w:rPr>
      </w:pPr>
      <w:r w:rsidRPr="00CB583F">
        <w:rPr>
          <w:rFonts w:eastAsiaTheme="minorEastAsia"/>
          <w:lang w:eastAsia="zh-CN"/>
        </w:rPr>
        <w:t>R4-2106127 WF FR2_enhTestMethods</w:t>
      </w:r>
    </w:p>
    <w:p w14:paraId="04C1C5D7" w14:textId="0675D713" w:rsidR="00252441" w:rsidRPr="00323B95" w:rsidRDefault="00252441" w:rsidP="00FB282B">
      <w:pPr>
        <w:pStyle w:val="EX"/>
        <w:numPr>
          <w:ilvl w:val="0"/>
          <w:numId w:val="1"/>
        </w:numPr>
        <w:ind w:left="284" w:firstLine="0"/>
        <w:rPr>
          <w:rFonts w:eastAsiaTheme="minorEastAsia"/>
          <w:lang w:eastAsia="zh-CN"/>
        </w:rPr>
      </w:pPr>
    </w:p>
    <w:sectPr w:rsidR="00252441"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8C095" w14:textId="77777777" w:rsidR="00416208" w:rsidRDefault="00416208" w:rsidP="0003021C">
      <w:pPr>
        <w:spacing w:after="0"/>
      </w:pPr>
      <w:r>
        <w:separator/>
      </w:r>
    </w:p>
  </w:endnote>
  <w:endnote w:type="continuationSeparator" w:id="0">
    <w:p w14:paraId="74A25717" w14:textId="77777777" w:rsidR="00416208" w:rsidRDefault="00416208"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C6195" w14:textId="77777777" w:rsidR="00416208" w:rsidRDefault="00416208" w:rsidP="0003021C">
      <w:pPr>
        <w:spacing w:after="0"/>
      </w:pPr>
      <w:r>
        <w:separator/>
      </w:r>
    </w:p>
  </w:footnote>
  <w:footnote w:type="continuationSeparator" w:id="0">
    <w:p w14:paraId="2E2C735D" w14:textId="77777777" w:rsidR="00416208" w:rsidRDefault="00416208"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45525"/>
    <w:rsid w:val="00054E76"/>
    <w:rsid w:val="00055B54"/>
    <w:rsid w:val="00067EF1"/>
    <w:rsid w:val="0009553E"/>
    <w:rsid w:val="00096952"/>
    <w:rsid w:val="000A4E3C"/>
    <w:rsid w:val="000B480B"/>
    <w:rsid w:val="000E2B0A"/>
    <w:rsid w:val="000E4110"/>
    <w:rsid w:val="000E4413"/>
    <w:rsid w:val="00103338"/>
    <w:rsid w:val="0010771F"/>
    <w:rsid w:val="00107B65"/>
    <w:rsid w:val="0011447B"/>
    <w:rsid w:val="00130D44"/>
    <w:rsid w:val="00145BF3"/>
    <w:rsid w:val="00156AB2"/>
    <w:rsid w:val="0016054E"/>
    <w:rsid w:val="0017411A"/>
    <w:rsid w:val="0018728C"/>
    <w:rsid w:val="001A447D"/>
    <w:rsid w:val="001D56FE"/>
    <w:rsid w:val="001E082D"/>
    <w:rsid w:val="001E528F"/>
    <w:rsid w:val="001F637F"/>
    <w:rsid w:val="00214C02"/>
    <w:rsid w:val="00215E3A"/>
    <w:rsid w:val="002206B1"/>
    <w:rsid w:val="002466C5"/>
    <w:rsid w:val="00251CC5"/>
    <w:rsid w:val="00252441"/>
    <w:rsid w:val="002529CD"/>
    <w:rsid w:val="002553AA"/>
    <w:rsid w:val="002618BA"/>
    <w:rsid w:val="00262BB5"/>
    <w:rsid w:val="00265877"/>
    <w:rsid w:val="00265B4F"/>
    <w:rsid w:val="002666EB"/>
    <w:rsid w:val="00287A5F"/>
    <w:rsid w:val="002A389C"/>
    <w:rsid w:val="002A5AAC"/>
    <w:rsid w:val="002B33C3"/>
    <w:rsid w:val="002D0367"/>
    <w:rsid w:val="002D7EEA"/>
    <w:rsid w:val="002F2025"/>
    <w:rsid w:val="002F4DBF"/>
    <w:rsid w:val="00305776"/>
    <w:rsid w:val="00323B95"/>
    <w:rsid w:val="00357AAD"/>
    <w:rsid w:val="0037096C"/>
    <w:rsid w:val="00372596"/>
    <w:rsid w:val="00376766"/>
    <w:rsid w:val="00384E5B"/>
    <w:rsid w:val="003956E2"/>
    <w:rsid w:val="003C1B40"/>
    <w:rsid w:val="003F1079"/>
    <w:rsid w:val="003F158B"/>
    <w:rsid w:val="00400F3F"/>
    <w:rsid w:val="00403B6D"/>
    <w:rsid w:val="00411BC2"/>
    <w:rsid w:val="00411E50"/>
    <w:rsid w:val="00415E1A"/>
    <w:rsid w:val="00416208"/>
    <w:rsid w:val="0042087B"/>
    <w:rsid w:val="00420F98"/>
    <w:rsid w:val="0042777D"/>
    <w:rsid w:val="0043660B"/>
    <w:rsid w:val="00440EF6"/>
    <w:rsid w:val="004536D4"/>
    <w:rsid w:val="004664DD"/>
    <w:rsid w:val="00474BD0"/>
    <w:rsid w:val="004803EC"/>
    <w:rsid w:val="00481688"/>
    <w:rsid w:val="00482E50"/>
    <w:rsid w:val="00486AE0"/>
    <w:rsid w:val="00487E7C"/>
    <w:rsid w:val="0049290F"/>
    <w:rsid w:val="004A108A"/>
    <w:rsid w:val="004B3C0C"/>
    <w:rsid w:val="004D4E7B"/>
    <w:rsid w:val="004E0CEE"/>
    <w:rsid w:val="004E6D83"/>
    <w:rsid w:val="00501EB2"/>
    <w:rsid w:val="00510DAC"/>
    <w:rsid w:val="0052285E"/>
    <w:rsid w:val="00547795"/>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C4DFA"/>
    <w:rsid w:val="005D21AA"/>
    <w:rsid w:val="005D367D"/>
    <w:rsid w:val="005D5DBB"/>
    <w:rsid w:val="005E059A"/>
    <w:rsid w:val="005E78CD"/>
    <w:rsid w:val="005F2A66"/>
    <w:rsid w:val="00602100"/>
    <w:rsid w:val="00614AEE"/>
    <w:rsid w:val="00614EE8"/>
    <w:rsid w:val="00615922"/>
    <w:rsid w:val="00621185"/>
    <w:rsid w:val="00625321"/>
    <w:rsid w:val="00626166"/>
    <w:rsid w:val="00631AE6"/>
    <w:rsid w:val="00631F03"/>
    <w:rsid w:val="00645643"/>
    <w:rsid w:val="00664622"/>
    <w:rsid w:val="006678A6"/>
    <w:rsid w:val="0068171A"/>
    <w:rsid w:val="00682097"/>
    <w:rsid w:val="00685852"/>
    <w:rsid w:val="00686D8A"/>
    <w:rsid w:val="00687FD1"/>
    <w:rsid w:val="00693B17"/>
    <w:rsid w:val="006C2B90"/>
    <w:rsid w:val="006E59F0"/>
    <w:rsid w:val="0073566C"/>
    <w:rsid w:val="007373AF"/>
    <w:rsid w:val="00737F7D"/>
    <w:rsid w:val="00761CA2"/>
    <w:rsid w:val="00770B89"/>
    <w:rsid w:val="007726E6"/>
    <w:rsid w:val="007764CE"/>
    <w:rsid w:val="00791CBB"/>
    <w:rsid w:val="007C3534"/>
    <w:rsid w:val="007D5C83"/>
    <w:rsid w:val="007E40B0"/>
    <w:rsid w:val="007F009F"/>
    <w:rsid w:val="007F37FE"/>
    <w:rsid w:val="008053AB"/>
    <w:rsid w:val="008144EC"/>
    <w:rsid w:val="00815183"/>
    <w:rsid w:val="0082608F"/>
    <w:rsid w:val="008336F3"/>
    <w:rsid w:val="008352C1"/>
    <w:rsid w:val="00841297"/>
    <w:rsid w:val="00853384"/>
    <w:rsid w:val="008559B8"/>
    <w:rsid w:val="0087017B"/>
    <w:rsid w:val="00871374"/>
    <w:rsid w:val="008941F1"/>
    <w:rsid w:val="008B7240"/>
    <w:rsid w:val="008C3254"/>
    <w:rsid w:val="008D18D2"/>
    <w:rsid w:val="008E2D4C"/>
    <w:rsid w:val="008E591A"/>
    <w:rsid w:val="008F13E1"/>
    <w:rsid w:val="008F679C"/>
    <w:rsid w:val="00902570"/>
    <w:rsid w:val="00905C13"/>
    <w:rsid w:val="00907364"/>
    <w:rsid w:val="00910A92"/>
    <w:rsid w:val="00913ED4"/>
    <w:rsid w:val="00921D13"/>
    <w:rsid w:val="00924F4E"/>
    <w:rsid w:val="00927CA7"/>
    <w:rsid w:val="0094229E"/>
    <w:rsid w:val="00950C25"/>
    <w:rsid w:val="00951FC4"/>
    <w:rsid w:val="00963040"/>
    <w:rsid w:val="009716E4"/>
    <w:rsid w:val="00974222"/>
    <w:rsid w:val="00991F01"/>
    <w:rsid w:val="00992EB9"/>
    <w:rsid w:val="009A12A8"/>
    <w:rsid w:val="009A1576"/>
    <w:rsid w:val="009A1DF5"/>
    <w:rsid w:val="009A32CE"/>
    <w:rsid w:val="009B3381"/>
    <w:rsid w:val="009B5B64"/>
    <w:rsid w:val="009C042F"/>
    <w:rsid w:val="009C1AFB"/>
    <w:rsid w:val="009C541C"/>
    <w:rsid w:val="009C6D0C"/>
    <w:rsid w:val="009D2FF0"/>
    <w:rsid w:val="009D69D2"/>
    <w:rsid w:val="00A14DDA"/>
    <w:rsid w:val="00A24DE7"/>
    <w:rsid w:val="00A30765"/>
    <w:rsid w:val="00A32C90"/>
    <w:rsid w:val="00A479BB"/>
    <w:rsid w:val="00A51699"/>
    <w:rsid w:val="00A53FC0"/>
    <w:rsid w:val="00A649A4"/>
    <w:rsid w:val="00A75DE6"/>
    <w:rsid w:val="00A80B08"/>
    <w:rsid w:val="00A86C91"/>
    <w:rsid w:val="00A925E0"/>
    <w:rsid w:val="00A9526C"/>
    <w:rsid w:val="00A95389"/>
    <w:rsid w:val="00A95390"/>
    <w:rsid w:val="00A97485"/>
    <w:rsid w:val="00AC4265"/>
    <w:rsid w:val="00AE2291"/>
    <w:rsid w:val="00AF3250"/>
    <w:rsid w:val="00B0494B"/>
    <w:rsid w:val="00B07F65"/>
    <w:rsid w:val="00B10C7F"/>
    <w:rsid w:val="00B13C39"/>
    <w:rsid w:val="00B22096"/>
    <w:rsid w:val="00B23AD5"/>
    <w:rsid w:val="00B2591E"/>
    <w:rsid w:val="00B2676A"/>
    <w:rsid w:val="00B30A98"/>
    <w:rsid w:val="00B329C7"/>
    <w:rsid w:val="00B36AFE"/>
    <w:rsid w:val="00B43366"/>
    <w:rsid w:val="00B43D9C"/>
    <w:rsid w:val="00B44F79"/>
    <w:rsid w:val="00B462C5"/>
    <w:rsid w:val="00B4774F"/>
    <w:rsid w:val="00B52047"/>
    <w:rsid w:val="00B52F7E"/>
    <w:rsid w:val="00B53F18"/>
    <w:rsid w:val="00B82F96"/>
    <w:rsid w:val="00B96A4E"/>
    <w:rsid w:val="00B976CD"/>
    <w:rsid w:val="00BD7A49"/>
    <w:rsid w:val="00BE135A"/>
    <w:rsid w:val="00C06AFF"/>
    <w:rsid w:val="00C318E4"/>
    <w:rsid w:val="00C360EF"/>
    <w:rsid w:val="00C43232"/>
    <w:rsid w:val="00C543E0"/>
    <w:rsid w:val="00C564D7"/>
    <w:rsid w:val="00C63066"/>
    <w:rsid w:val="00C76EBF"/>
    <w:rsid w:val="00CA3BBC"/>
    <w:rsid w:val="00CB57CB"/>
    <w:rsid w:val="00CB583F"/>
    <w:rsid w:val="00CB7B07"/>
    <w:rsid w:val="00CC445C"/>
    <w:rsid w:val="00CD0308"/>
    <w:rsid w:val="00CE077A"/>
    <w:rsid w:val="00CE12DE"/>
    <w:rsid w:val="00CE5B6F"/>
    <w:rsid w:val="00CE789C"/>
    <w:rsid w:val="00CF0964"/>
    <w:rsid w:val="00D04830"/>
    <w:rsid w:val="00D06550"/>
    <w:rsid w:val="00D15999"/>
    <w:rsid w:val="00D32F40"/>
    <w:rsid w:val="00D420B7"/>
    <w:rsid w:val="00D54BD6"/>
    <w:rsid w:val="00D74A01"/>
    <w:rsid w:val="00D846FB"/>
    <w:rsid w:val="00D92565"/>
    <w:rsid w:val="00D95049"/>
    <w:rsid w:val="00DA4748"/>
    <w:rsid w:val="00DA4C3E"/>
    <w:rsid w:val="00DB3813"/>
    <w:rsid w:val="00DD0B3B"/>
    <w:rsid w:val="00DD38F0"/>
    <w:rsid w:val="00DD67F7"/>
    <w:rsid w:val="00DE0DA1"/>
    <w:rsid w:val="00DE2503"/>
    <w:rsid w:val="00DF2DCA"/>
    <w:rsid w:val="00DF6A20"/>
    <w:rsid w:val="00DF76FA"/>
    <w:rsid w:val="00E165E9"/>
    <w:rsid w:val="00E24C95"/>
    <w:rsid w:val="00E25DBD"/>
    <w:rsid w:val="00E30AFB"/>
    <w:rsid w:val="00E43D38"/>
    <w:rsid w:val="00E474CE"/>
    <w:rsid w:val="00E5000C"/>
    <w:rsid w:val="00E5652B"/>
    <w:rsid w:val="00E60178"/>
    <w:rsid w:val="00E64760"/>
    <w:rsid w:val="00E75101"/>
    <w:rsid w:val="00EB7FA3"/>
    <w:rsid w:val="00EC2338"/>
    <w:rsid w:val="00EE046C"/>
    <w:rsid w:val="00EE14A0"/>
    <w:rsid w:val="00EE4BBE"/>
    <w:rsid w:val="00EE5F9D"/>
    <w:rsid w:val="00EF4652"/>
    <w:rsid w:val="00EF6D09"/>
    <w:rsid w:val="00F00275"/>
    <w:rsid w:val="00F028EE"/>
    <w:rsid w:val="00F30333"/>
    <w:rsid w:val="00F43101"/>
    <w:rsid w:val="00F61C0F"/>
    <w:rsid w:val="00F63246"/>
    <w:rsid w:val="00F63F87"/>
    <w:rsid w:val="00F65DEB"/>
    <w:rsid w:val="00F76ACB"/>
    <w:rsid w:val="00F91DA6"/>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D1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CF15D-A229-4CBC-A294-D2073948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429</Words>
  <Characters>2448</Characters>
  <Application>Microsoft Office Word</Application>
  <DocSecurity>0</DocSecurity>
  <Lines>20</Lines>
  <Paragraphs>5</Paragraphs>
  <ScaleCrop>false</ScaleCrop>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4</cp:revision>
  <dcterms:created xsi:type="dcterms:W3CDTF">2021-05-11T07:51:00Z</dcterms:created>
  <dcterms:modified xsi:type="dcterms:W3CDTF">2021-05-11T14:13:00Z</dcterms:modified>
</cp:coreProperties>
</file>